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Uniform Hospital Discharge Data Set</w:t>
      </w: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D66CC" w:rsidRDefault="005D66CC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D66CC" w:rsidRDefault="005D66CC" w:rsidP="000D6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6CC" w:rsidRDefault="005D66CC" w:rsidP="000D6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1569D" w:rsidRPr="00A1569D" w:rsidRDefault="00A1569D" w:rsidP="000D68B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1569D">
        <w:rPr>
          <w:rFonts w:ascii="Times New Roman" w:hAnsi="Times New Roman" w:cs="Times New Roman"/>
          <w:b/>
          <w:sz w:val="24"/>
          <w:szCs w:val="24"/>
        </w:rPr>
        <w:lastRenderedPageBreak/>
        <w:t>Uniform Hospital Discharge Data Set</w:t>
      </w:r>
    </w:p>
    <w:p w:rsidR="0027447A" w:rsidRPr="005D66CC" w:rsidRDefault="0027447A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Uniform Hospital Discharge Data Set (UHDDS), started in 1974 by the U.S. </w:t>
      </w:r>
      <w:r w:rsidR="000003D1" w:rsidRPr="005D66CC">
        <w:rPr>
          <w:rFonts w:ascii="Times New Roman" w:hAnsi="Times New Roman" w:cs="Times New Roman"/>
          <w:sz w:val="24"/>
          <w:szCs w:val="24"/>
        </w:rPr>
        <w:t>Department</w:t>
      </w:r>
      <w:r w:rsidRPr="005D66CC">
        <w:rPr>
          <w:rFonts w:ascii="Times New Roman" w:hAnsi="Times New Roman" w:cs="Times New Roman"/>
          <w:sz w:val="24"/>
          <w:szCs w:val="24"/>
        </w:rPr>
        <w:t xml:space="preserve"> of Health, Education and Welfare and updated in 1984, </w:t>
      </w:r>
      <w:r w:rsidR="000003D1" w:rsidRPr="005D66CC">
        <w:rPr>
          <w:rFonts w:ascii="Times New Roman" w:hAnsi="Times New Roman" w:cs="Times New Roman"/>
          <w:sz w:val="24"/>
          <w:szCs w:val="24"/>
        </w:rPr>
        <w:t>mandates</w:t>
      </w:r>
      <w:r w:rsidRPr="005D66CC">
        <w:rPr>
          <w:rFonts w:ascii="Times New Roman" w:hAnsi="Times New Roman" w:cs="Times New Roman"/>
          <w:sz w:val="24"/>
          <w:szCs w:val="24"/>
        </w:rPr>
        <w:t xml:space="preserve"> the </w:t>
      </w:r>
      <w:r w:rsidR="005D66CC" w:rsidRPr="005D66CC">
        <w:rPr>
          <w:rFonts w:ascii="Times New Roman" w:hAnsi="Times New Roman" w:cs="Times New Roman"/>
          <w:sz w:val="24"/>
          <w:szCs w:val="24"/>
        </w:rPr>
        <w:t>collecting</w:t>
      </w:r>
      <w:r w:rsidRPr="005D66CC">
        <w:rPr>
          <w:rFonts w:ascii="Times New Roman" w:hAnsi="Times New Roman" w:cs="Times New Roman"/>
          <w:sz w:val="24"/>
          <w:szCs w:val="24"/>
        </w:rPr>
        <w:t xml:space="preserve"> and </w:t>
      </w:r>
      <w:r w:rsidR="000003D1" w:rsidRPr="005D66CC">
        <w:rPr>
          <w:rFonts w:ascii="Times New Roman" w:hAnsi="Times New Roman" w:cs="Times New Roman"/>
          <w:sz w:val="24"/>
          <w:szCs w:val="24"/>
        </w:rPr>
        <w:t>reporting</w:t>
      </w:r>
      <w:r w:rsidRPr="005D66CC">
        <w:rPr>
          <w:rFonts w:ascii="Times New Roman" w:hAnsi="Times New Roman" w:cs="Times New Roman"/>
          <w:sz w:val="24"/>
          <w:szCs w:val="24"/>
        </w:rPr>
        <w:t xml:space="preserve"> of a </w:t>
      </w:r>
      <w:r w:rsidR="000003D1" w:rsidRPr="005D66CC">
        <w:rPr>
          <w:rFonts w:ascii="Times New Roman" w:hAnsi="Times New Roman" w:cs="Times New Roman"/>
          <w:sz w:val="24"/>
          <w:szCs w:val="24"/>
        </w:rPr>
        <w:t>minimum</w:t>
      </w:r>
      <w:r w:rsidRPr="005D66CC">
        <w:rPr>
          <w:rFonts w:ascii="Times New Roman" w:hAnsi="Times New Roman" w:cs="Times New Roman"/>
          <w:sz w:val="24"/>
          <w:szCs w:val="24"/>
        </w:rPr>
        <w:t xml:space="preserve"> </w:t>
      </w:r>
      <w:r w:rsidR="000003D1" w:rsidRPr="005D66CC">
        <w:rPr>
          <w:rFonts w:ascii="Times New Roman" w:hAnsi="Times New Roman" w:cs="Times New Roman"/>
          <w:sz w:val="24"/>
          <w:szCs w:val="24"/>
        </w:rPr>
        <w:t>set</w:t>
      </w:r>
      <w:r w:rsidRPr="005D66CC">
        <w:rPr>
          <w:rFonts w:ascii="Times New Roman" w:hAnsi="Times New Roman" w:cs="Times New Roman"/>
          <w:sz w:val="24"/>
          <w:szCs w:val="24"/>
        </w:rPr>
        <w:t xml:space="preserve"> of </w:t>
      </w:r>
      <w:r w:rsidR="000003D1" w:rsidRPr="005D66CC">
        <w:rPr>
          <w:rFonts w:ascii="Times New Roman" w:hAnsi="Times New Roman" w:cs="Times New Roman"/>
          <w:sz w:val="24"/>
          <w:szCs w:val="24"/>
        </w:rPr>
        <w:t>data</w:t>
      </w:r>
      <w:r w:rsidRPr="005D66CC">
        <w:rPr>
          <w:rFonts w:ascii="Times New Roman" w:hAnsi="Times New Roman" w:cs="Times New Roman"/>
          <w:sz w:val="24"/>
          <w:szCs w:val="24"/>
        </w:rPr>
        <w:t xml:space="preserve"> on all doctor's facility Medicare and Medicaid patients. It has likewise turned into the standard utilized by nonfederal open and private substances (Hanft and Breslow, 2018). </w:t>
      </w:r>
    </w:p>
    <w:p w:rsidR="0027447A" w:rsidRPr="005D66CC" w:rsidRDefault="0027447A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Uniform Hospital Discharge Data Set (UHDDS) </w:t>
      </w:r>
      <w:r w:rsidR="000003D1" w:rsidRPr="005D66CC">
        <w:rPr>
          <w:rFonts w:ascii="Times New Roman" w:hAnsi="Times New Roman" w:cs="Times New Roman"/>
          <w:sz w:val="24"/>
          <w:szCs w:val="24"/>
        </w:rPr>
        <w:t>mandates</w:t>
      </w:r>
      <w:r w:rsidRPr="005D66CC">
        <w:rPr>
          <w:rFonts w:ascii="Times New Roman" w:hAnsi="Times New Roman" w:cs="Times New Roman"/>
          <w:sz w:val="24"/>
          <w:szCs w:val="24"/>
        </w:rPr>
        <w:t xml:space="preserve"> that "other" (or </w:t>
      </w:r>
      <w:r w:rsidR="000003D1" w:rsidRPr="005D66CC">
        <w:rPr>
          <w:rFonts w:ascii="Times New Roman" w:hAnsi="Times New Roman" w:cs="Times New Roman"/>
          <w:sz w:val="24"/>
          <w:szCs w:val="24"/>
        </w:rPr>
        <w:t>secondary</w:t>
      </w:r>
      <w:r w:rsidRPr="005D66CC">
        <w:rPr>
          <w:rFonts w:ascii="Times New Roman" w:hAnsi="Times New Roman" w:cs="Times New Roman"/>
          <w:sz w:val="24"/>
          <w:szCs w:val="24"/>
        </w:rPr>
        <w:t xml:space="preserve">) analyze must be coded and detailed. </w:t>
      </w:r>
    </w:p>
    <w:p w:rsidR="0027447A" w:rsidRPr="005D66CC" w:rsidRDefault="0027447A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As the </w:t>
      </w:r>
      <w:r w:rsidR="000003D1" w:rsidRPr="005D66CC">
        <w:rPr>
          <w:rFonts w:ascii="Times New Roman" w:hAnsi="Times New Roman" w:cs="Times New Roman"/>
          <w:sz w:val="24"/>
          <w:szCs w:val="24"/>
        </w:rPr>
        <w:t xml:space="preserve">federal </w:t>
      </w:r>
      <w:r w:rsidRPr="005D66CC">
        <w:rPr>
          <w:rFonts w:ascii="Times New Roman" w:hAnsi="Times New Roman" w:cs="Times New Roman"/>
          <w:sz w:val="24"/>
          <w:szCs w:val="24"/>
        </w:rPr>
        <w:t xml:space="preserve">government was ending up progressively associated with human services, examiners understood the significance of making an institutionalized arrangement of </w:t>
      </w:r>
      <w:r w:rsidR="000003D1" w:rsidRPr="005D66CC">
        <w:rPr>
          <w:rFonts w:ascii="Times New Roman" w:hAnsi="Times New Roman" w:cs="Times New Roman"/>
          <w:sz w:val="24"/>
          <w:szCs w:val="24"/>
        </w:rPr>
        <w:t>medical</w:t>
      </w:r>
      <w:r w:rsidRPr="005D66CC">
        <w:rPr>
          <w:rFonts w:ascii="Times New Roman" w:hAnsi="Times New Roman" w:cs="Times New Roman"/>
          <w:sz w:val="24"/>
          <w:szCs w:val="24"/>
        </w:rPr>
        <w:t xml:space="preserve"> coding that would take into account a less</w:t>
      </w:r>
      <w:r w:rsidR="005D66CC" w:rsidRPr="005D66CC">
        <w:rPr>
          <w:rFonts w:ascii="Times New Roman" w:hAnsi="Times New Roman" w:cs="Times New Roman"/>
          <w:sz w:val="24"/>
          <w:szCs w:val="24"/>
        </w:rPr>
        <w:t xml:space="preserve"> demanding correlation between hospitals</w:t>
      </w:r>
      <w:r w:rsidRPr="005D66CC">
        <w:rPr>
          <w:rFonts w:ascii="Times New Roman" w:hAnsi="Times New Roman" w:cs="Times New Roman"/>
          <w:sz w:val="24"/>
          <w:szCs w:val="24"/>
        </w:rPr>
        <w:t xml:space="preserve"> (Medical </w:t>
      </w:r>
      <w:r w:rsidR="005D66CC" w:rsidRPr="005D66CC">
        <w:rPr>
          <w:rFonts w:ascii="Times New Roman" w:hAnsi="Times New Roman" w:cs="Times New Roman"/>
          <w:sz w:val="24"/>
          <w:szCs w:val="24"/>
        </w:rPr>
        <w:t>billing</w:t>
      </w:r>
      <w:r w:rsidRPr="005D66CC">
        <w:rPr>
          <w:rFonts w:ascii="Times New Roman" w:hAnsi="Times New Roman" w:cs="Times New Roman"/>
          <w:sz w:val="24"/>
          <w:szCs w:val="24"/>
        </w:rPr>
        <w:t xml:space="preserve">, 2015). </w:t>
      </w:r>
    </w:p>
    <w:p w:rsidR="0027447A" w:rsidRPr="005D66CC" w:rsidRDefault="0027447A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These UHDDS components include: </w:t>
      </w:r>
    </w:p>
    <w:p w:rsidR="0027447A" w:rsidRPr="005D66CC" w:rsidRDefault="0027447A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Self-revealed </w:t>
      </w:r>
      <w:r w:rsidR="005D66CC" w:rsidRPr="005D66CC">
        <w:rPr>
          <w:rFonts w:ascii="Times New Roman" w:hAnsi="Times New Roman" w:cs="Times New Roman"/>
          <w:sz w:val="24"/>
          <w:szCs w:val="24"/>
        </w:rPr>
        <w:t>health</w:t>
      </w:r>
      <w:r w:rsidRPr="005D66CC">
        <w:rPr>
          <w:rFonts w:ascii="Times New Roman" w:hAnsi="Times New Roman" w:cs="Times New Roman"/>
          <w:sz w:val="24"/>
          <w:szCs w:val="24"/>
        </w:rPr>
        <w:t xml:space="preserve"> status: self-announced </w:t>
      </w:r>
      <w:r w:rsidR="005D66CC" w:rsidRPr="005D66CC">
        <w:rPr>
          <w:rFonts w:ascii="Times New Roman" w:hAnsi="Times New Roman" w:cs="Times New Roman"/>
          <w:sz w:val="24"/>
          <w:szCs w:val="24"/>
        </w:rPr>
        <w:t>health</w:t>
      </w:r>
      <w:r w:rsidRPr="005D66CC">
        <w:rPr>
          <w:rFonts w:ascii="Times New Roman" w:hAnsi="Times New Roman" w:cs="Times New Roman"/>
          <w:sz w:val="24"/>
          <w:szCs w:val="24"/>
        </w:rPr>
        <w:t xml:space="preserve"> status as a component that can accelerate the interest for social insurance and help decide </w:t>
      </w:r>
      <w:r w:rsidR="005D66CC" w:rsidRPr="005D66CC">
        <w:rPr>
          <w:rFonts w:ascii="Times New Roman" w:hAnsi="Times New Roman" w:cs="Times New Roman"/>
          <w:sz w:val="24"/>
          <w:szCs w:val="24"/>
        </w:rPr>
        <w:t>prognosis</w:t>
      </w:r>
      <w:r w:rsidRPr="005D66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447A" w:rsidRPr="005D66CC" w:rsidRDefault="005D66CC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>Functional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status: </w:t>
      </w:r>
      <w:r w:rsidRPr="005D66CC">
        <w:rPr>
          <w:rFonts w:ascii="Times New Roman" w:hAnsi="Times New Roman" w:cs="Times New Roman"/>
          <w:sz w:val="24"/>
          <w:szCs w:val="24"/>
        </w:rPr>
        <w:t>functional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status as a component that has been appeared to be firmly identified with </w:t>
      </w:r>
      <w:r w:rsidR="000003D1" w:rsidRPr="005D66CC">
        <w:rPr>
          <w:rFonts w:ascii="Times New Roman" w:hAnsi="Times New Roman" w:cs="Times New Roman"/>
          <w:sz w:val="24"/>
          <w:szCs w:val="24"/>
        </w:rPr>
        <w:t>medical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care use rates and the requirement for long haul mind (Greenberg and Judith, 1997). </w:t>
      </w:r>
    </w:p>
    <w:p w:rsidR="0027447A" w:rsidRPr="005D66CC" w:rsidRDefault="005D66CC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eastAsia="Times New Roman" w:hAnsi="Times New Roman" w:cs="Times New Roman"/>
          <w:sz w:val="24"/>
          <w:szCs w:val="24"/>
          <w:lang w:eastAsia="en-GB"/>
        </w:rPr>
        <w:t>Principal and primary diagnosis (inpatient):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: primary analysis is required by most frameworks for inpatient </w:t>
      </w:r>
      <w:r w:rsidRPr="005D66CC">
        <w:rPr>
          <w:rFonts w:ascii="Times New Roman" w:hAnsi="Times New Roman" w:cs="Times New Roman"/>
          <w:sz w:val="24"/>
          <w:szCs w:val="24"/>
        </w:rPr>
        <w:t>reporting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and accordingly views it as a basic center </w:t>
      </w:r>
      <w:r w:rsidR="000003D1" w:rsidRPr="005D66CC">
        <w:rPr>
          <w:rFonts w:ascii="Times New Roman" w:hAnsi="Times New Roman" w:cs="Times New Roman"/>
          <w:sz w:val="24"/>
          <w:szCs w:val="24"/>
        </w:rPr>
        <w:t>data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component. In the meantime, amid this and prior audits, it noticed some enthusiasm for </w:t>
      </w:r>
      <w:r w:rsidRPr="005D66CC">
        <w:rPr>
          <w:rFonts w:ascii="Times New Roman" w:hAnsi="Times New Roman" w:cs="Times New Roman"/>
          <w:sz w:val="24"/>
          <w:szCs w:val="24"/>
        </w:rPr>
        <w:t>collecting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the "</w:t>
      </w:r>
      <w:r w:rsidRPr="005D66CC">
        <w:rPr>
          <w:rFonts w:ascii="Times New Roman" w:hAnsi="Times New Roman" w:cs="Times New Roman"/>
          <w:sz w:val="24"/>
          <w:szCs w:val="24"/>
        </w:rPr>
        <w:t xml:space="preserve">primary </w:t>
      </w:r>
      <w:r w:rsidRPr="005D66CC">
        <w:rPr>
          <w:rFonts w:ascii="Times New Roman" w:hAnsi="Times New Roman" w:cs="Times New Roman"/>
          <w:sz w:val="24"/>
          <w:szCs w:val="24"/>
        </w:rPr>
        <w:lastRenderedPageBreak/>
        <w:t>prognosis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" and furthermore some </w:t>
      </w:r>
      <w:r w:rsidRPr="005D66CC">
        <w:rPr>
          <w:rFonts w:ascii="Times New Roman" w:hAnsi="Times New Roman" w:cs="Times New Roman"/>
          <w:sz w:val="24"/>
          <w:szCs w:val="24"/>
        </w:rPr>
        <w:t>confusion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between the phrasing </w:t>
      </w:r>
      <w:r w:rsidRPr="005D66CC">
        <w:rPr>
          <w:rFonts w:ascii="Times New Roman" w:hAnsi="Times New Roman" w:cs="Times New Roman"/>
          <w:sz w:val="24"/>
          <w:szCs w:val="24"/>
        </w:rPr>
        <w:t>of principal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versus </w:t>
      </w:r>
      <w:r w:rsidRPr="005D66CC">
        <w:rPr>
          <w:rFonts w:ascii="Times New Roman" w:hAnsi="Times New Roman" w:cs="Times New Roman"/>
          <w:sz w:val="24"/>
          <w:szCs w:val="24"/>
        </w:rPr>
        <w:t>primary</w:t>
      </w:r>
      <w:r w:rsidR="0027447A" w:rsidRPr="005D66CC">
        <w:rPr>
          <w:rFonts w:ascii="Times New Roman" w:hAnsi="Times New Roman" w:cs="Times New Roman"/>
          <w:sz w:val="24"/>
          <w:szCs w:val="24"/>
        </w:rPr>
        <w:t xml:space="preserve"> (Greenberg and Judith, 1997). </w:t>
      </w:r>
    </w:p>
    <w:p w:rsidR="005D66CC" w:rsidRPr="005D66CC" w:rsidRDefault="005D66CC" w:rsidP="000D68B5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D66C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Other diagnoses (outpatient/in- patient ):  are defined in the inpatient setting as "all conditions that coexist at the time of admission, or develop subsequently, which affect the treatment received and/or the length of stay." </w:t>
      </w:r>
    </w:p>
    <w:p w:rsidR="005D66CC" w:rsidRDefault="002A12F1" w:rsidP="000D68B5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D66CC">
        <w:rPr>
          <w:rFonts w:ascii="Times New Roman" w:eastAsia="Times New Roman" w:hAnsi="Times New Roman" w:cs="Times New Roman"/>
          <w:sz w:val="24"/>
          <w:szCs w:val="24"/>
          <w:lang w:eastAsia="en-GB"/>
        </w:rPr>
        <w:t>Other elements to be included are</w:t>
      </w:r>
      <w:r w:rsidR="000003D1" w:rsidRPr="005D66CC">
        <w:rPr>
          <w:rFonts w:ascii="Times New Roman" w:eastAsia="Times New Roman" w:hAnsi="Times New Roman" w:cs="Times New Roman"/>
          <w:sz w:val="24"/>
          <w:szCs w:val="24"/>
          <w:lang w:eastAsia="en-GB"/>
        </w:rPr>
        <w:t>: patient’s stated reason for visit or chief complaint (outpatient); principal procedure (inpatient); external cause of injury; procedures and services (outpatient); other procedures (inpatient); and medications prescribed</w:t>
      </w:r>
      <w:r w:rsidR="005D66CC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2A12F1" w:rsidRPr="005D66CC" w:rsidRDefault="002A12F1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Consequences for non-inclusion </w:t>
      </w:r>
    </w:p>
    <w:p w:rsidR="005D66CC" w:rsidRPr="005D66CC" w:rsidRDefault="005D66CC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>This need to be specified and without which, it is likely to lead the following consequences:</w:t>
      </w:r>
    </w:p>
    <w:p w:rsidR="005D66CC" w:rsidRPr="005D66CC" w:rsidRDefault="005D66CC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 xml:space="preserve">First, it has been observed that </w:t>
      </w:r>
      <w:r w:rsidRPr="005D66CC">
        <w:rPr>
          <w:rFonts w:ascii="Times New Roman" w:hAnsi="Times New Roman" w:cs="Times New Roman"/>
          <w:i/>
          <w:sz w:val="24"/>
          <w:szCs w:val="24"/>
        </w:rPr>
        <w:t>“without a universal unique identifier or a set of data items that can form a unique identifier, it will be impossible to link data across the myriad of healthcare locations and arrangements”</w:t>
      </w:r>
      <w:r w:rsidRPr="005D66CC">
        <w:rPr>
          <w:rFonts w:ascii="Times New Roman" w:hAnsi="Times New Roman" w:cs="Times New Roman"/>
          <w:sz w:val="24"/>
          <w:szCs w:val="24"/>
        </w:rPr>
        <w:t xml:space="preserve"> (ASPE, 1996).</w:t>
      </w:r>
    </w:p>
    <w:p w:rsidR="005D66CC" w:rsidRPr="005D66CC" w:rsidRDefault="005D66CC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6CC">
        <w:rPr>
          <w:rFonts w:ascii="Times New Roman" w:hAnsi="Times New Roman" w:cs="Times New Roman"/>
          <w:sz w:val="24"/>
          <w:szCs w:val="24"/>
        </w:rPr>
        <w:t>Secondly, without UHDDS reporting it becomes hard to understand trends  and impact of care on racial/ethnic minorities  because collection of “</w:t>
      </w:r>
      <w:r w:rsidRPr="005D66CC">
        <w:rPr>
          <w:rFonts w:ascii="Times New Roman" w:hAnsi="Times New Roman" w:cs="Times New Roman"/>
          <w:i/>
          <w:sz w:val="24"/>
          <w:szCs w:val="24"/>
        </w:rPr>
        <w:t>this element allows for the investigation of issues surrounding health and health care by a person's race and ethnic background”</w:t>
      </w:r>
      <w:r w:rsidRPr="005D66CC">
        <w:rPr>
          <w:rFonts w:ascii="Times New Roman" w:hAnsi="Times New Roman" w:cs="Times New Roman"/>
          <w:sz w:val="24"/>
          <w:szCs w:val="24"/>
        </w:rPr>
        <w:t xml:space="preserve"> (ASPE, 1996).</w:t>
      </w:r>
    </w:p>
    <w:p w:rsidR="005D66CC" w:rsidRDefault="009D3BAF" w:rsidP="000D68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</w:t>
      </w:r>
      <w:r w:rsidR="005D66CC" w:rsidRPr="005D66CC">
        <w:rPr>
          <w:rFonts w:ascii="Times New Roman" w:hAnsi="Times New Roman" w:cs="Times New Roman"/>
          <w:sz w:val="24"/>
          <w:szCs w:val="24"/>
        </w:rPr>
        <w:t>ly</w:t>
      </w:r>
      <w:r w:rsidR="0010395E">
        <w:rPr>
          <w:rFonts w:ascii="Times New Roman" w:hAnsi="Times New Roman" w:cs="Times New Roman"/>
          <w:sz w:val="24"/>
          <w:szCs w:val="24"/>
        </w:rPr>
        <w:t xml:space="preserve">, without it, </w:t>
      </w:r>
      <w:bookmarkStart w:id="0" w:name="_GoBack"/>
      <w:bookmarkEnd w:id="0"/>
      <w:r w:rsidR="005D66CC" w:rsidRPr="005D66CC">
        <w:rPr>
          <w:rFonts w:ascii="Times New Roman" w:hAnsi="Times New Roman" w:cs="Times New Roman"/>
          <w:sz w:val="24"/>
          <w:szCs w:val="24"/>
        </w:rPr>
        <w:t>it becomes impractical to analysis health issues because home address that allows the application of GIS (Geographic Information Systems) technology is not provided.</w:t>
      </w:r>
    </w:p>
    <w:p w:rsidR="00A1569D" w:rsidRDefault="00A1569D" w:rsidP="000D68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1569D" w:rsidRDefault="00A1569D" w:rsidP="00C16DF4">
      <w:pPr>
        <w:pStyle w:val="NormalWeb"/>
        <w:spacing w:line="480" w:lineRule="auto"/>
        <w:ind w:left="720" w:hanging="720"/>
      </w:pPr>
      <w:r>
        <w:t xml:space="preserve">ASPE. (1996). Core Health Data Elements: Report of the National Committee on Vital and Health Statistics. Core Health Data Elements. </w:t>
      </w:r>
      <w:r w:rsidRPr="00F11C20">
        <w:rPr>
          <w:lang w:val="en-US" w:eastAsia="en-US"/>
        </w:rPr>
        <w:t>Office of The Assistant Secretary</w:t>
      </w:r>
      <w:r>
        <w:rPr>
          <w:lang w:val="en-US" w:eastAsia="en-US"/>
        </w:rPr>
        <w:t xml:space="preserve"> </w:t>
      </w:r>
      <w:r w:rsidRPr="00F11C20">
        <w:rPr>
          <w:lang w:val="en-US"/>
        </w:rPr>
        <w:t>for Planning and Evaluation</w:t>
      </w:r>
      <w:r>
        <w:rPr>
          <w:lang w:val="en-US"/>
        </w:rPr>
        <w:t xml:space="preserve">. Retrieved: </w:t>
      </w:r>
      <w:r w:rsidRPr="00F11C20">
        <w:rPr>
          <w:lang w:val="en-US"/>
        </w:rPr>
        <w:t>https://aspe.hhs.gov/report/core-health-data-elements-report-national-committee-vital-and-health-statistics/core-health-data-elements</w:t>
      </w:r>
      <w:r>
        <w:t xml:space="preserve"> </w:t>
      </w:r>
    </w:p>
    <w:p w:rsidR="00A1569D" w:rsidRDefault="00A1569D" w:rsidP="000D68B5">
      <w:pPr>
        <w:pStyle w:val="HTMLPreformatted"/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Hanft, R, and Breslow, L. (2018). Uniform Hospital Discharge Data - Minimum Data Set. National Committee on Vital and Health Statistics. Retrieved from: https://archive.org/stream/uniformhospitald00unit/uniformhospitald00unit_djvu.txt </w:t>
      </w:r>
    </w:p>
    <w:p w:rsidR="00A1569D" w:rsidRDefault="00A1569D" w:rsidP="000D68B5">
      <w:pPr>
        <w:pStyle w:val="HTMLPreformatted"/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Greenberg, S. and Judith, J. (1997). Toward Standardization of Health Information." Journal of AHIMA 68, no.2 (1997): 22-28.</w:t>
      </w:r>
    </w:p>
    <w:p w:rsidR="00A1569D" w:rsidRDefault="00A1569D" w:rsidP="000D68B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Medical Billing. (2015). Uniform Hospital Discharge Data Set – UHDDS. Medical Billing. Retrieved from: https://medicalbillingcodingworld.com/2015/07/uniform-hospital-discharge-data-set-uhdds/ </w:t>
      </w:r>
    </w:p>
    <w:p w:rsidR="00A1569D" w:rsidRDefault="00A1569D" w:rsidP="000D68B5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A1569D" w:rsidRPr="005D66CC" w:rsidRDefault="00A1569D" w:rsidP="000D6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6CC" w:rsidRDefault="005D66CC" w:rsidP="000D68B5">
      <w:pPr>
        <w:spacing w:line="480" w:lineRule="auto"/>
      </w:pPr>
    </w:p>
    <w:sectPr w:rsidR="005D66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7A"/>
    <w:rsid w:val="000003D1"/>
    <w:rsid w:val="000D68B5"/>
    <w:rsid w:val="0010395E"/>
    <w:rsid w:val="0027447A"/>
    <w:rsid w:val="002A12F1"/>
    <w:rsid w:val="005D66CC"/>
    <w:rsid w:val="009D3BAF"/>
    <w:rsid w:val="00A1569D"/>
    <w:rsid w:val="00C16DF4"/>
    <w:rsid w:val="00CC7E21"/>
    <w:rsid w:val="00E25718"/>
    <w:rsid w:val="00E8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rsid w:val="00A156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1569D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1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rsid w:val="00A156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1569D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Maina</cp:lastModifiedBy>
  <cp:revision>7</cp:revision>
  <dcterms:created xsi:type="dcterms:W3CDTF">2018-03-24T20:49:00Z</dcterms:created>
  <dcterms:modified xsi:type="dcterms:W3CDTF">2018-03-24T21:45:00Z</dcterms:modified>
</cp:coreProperties>
</file>